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94" w:rsidRPr="00676794" w:rsidRDefault="00676794" w:rsidP="00676794">
      <w:pPr>
        <w:shd w:val="clear" w:color="auto" w:fill="FFFFFF"/>
        <w:spacing w:after="324"/>
        <w:jc w:val="center"/>
        <w:rPr>
          <w:rFonts w:ascii="Tahoma" w:eastAsia="Times New Roman" w:hAnsi="Tahoma" w:cs="Tahoma"/>
          <w:color w:val="2A2A2A"/>
          <w:sz w:val="20"/>
          <w:szCs w:val="20"/>
        </w:rPr>
      </w:pPr>
      <w:r w:rsidRPr="00676794">
        <w:rPr>
          <w:rFonts w:ascii="Tahoma" w:eastAsia="Times New Roman" w:hAnsi="Tahoma" w:cs="Tahoma"/>
          <w:b/>
          <w:bCs/>
          <w:color w:val="2A2A2A"/>
          <w:sz w:val="28"/>
          <w:szCs w:val="28"/>
          <w:u w:val="single"/>
        </w:rPr>
        <w:t>Farm Labor Contractor Rates</w:t>
      </w:r>
    </w:p>
    <w:p w:rsidR="001F1EA4" w:rsidRDefault="001F1EA4" w:rsidP="00676794">
      <w:pPr>
        <w:shd w:val="clear" w:color="auto" w:fill="FFFFFF"/>
        <w:spacing w:after="324"/>
        <w:rPr>
          <w:rFonts w:ascii="Tahoma" w:eastAsia="Times New Roman" w:hAnsi="Tahoma" w:cs="Tahoma"/>
          <w:color w:val="2A2A2A"/>
          <w:sz w:val="20"/>
          <w:szCs w:val="20"/>
        </w:rPr>
      </w:pPr>
      <w:r>
        <w:rPr>
          <w:rFonts w:ascii="Tahoma" w:eastAsia="Times New Roman" w:hAnsi="Tahoma" w:cs="Tahoma"/>
          <w:color w:val="2A2A2A"/>
          <w:sz w:val="20"/>
          <w:szCs w:val="20"/>
        </w:rPr>
        <w:t>FROM Nisei Farmers League Nov. Dec. 2012 News</w:t>
      </w:r>
    </w:p>
    <w:p w:rsidR="00676794" w:rsidRPr="00676794" w:rsidRDefault="00676794" w:rsidP="00676794">
      <w:pPr>
        <w:shd w:val="clear" w:color="auto" w:fill="FFFFFF"/>
        <w:spacing w:after="324"/>
        <w:rPr>
          <w:rFonts w:ascii="Tahoma" w:eastAsia="Times New Roman" w:hAnsi="Tahoma" w:cs="Tahoma"/>
          <w:color w:val="2A2A2A"/>
          <w:sz w:val="20"/>
          <w:szCs w:val="20"/>
        </w:rPr>
      </w:pPr>
      <w:r w:rsidRPr="00676794">
        <w:rPr>
          <w:rFonts w:ascii="Tahoma" w:eastAsia="Times New Roman" w:hAnsi="Tahoma" w:cs="Tahoma"/>
          <w:color w:val="2A2A2A"/>
          <w:sz w:val="20"/>
          <w:szCs w:val="20"/>
        </w:rPr>
        <w:t>Recent discussions with the U.S. Department of Labor have yielded some interesting information regarding how they are viewing farmers’ usage of farm labor contractors. DOL indicated that growers that hire contractors with rates that are significantly below market standards may be putting themselves at risk for action if during the course of an investigation it is found that the workers are not being correctly paid. DOL has developed a list of what they consider the going rate for contractors working in various commodities. The Nisei Farmers League has also developed a breakdown of contractors’ expenses. This breakdown is meant to be informative of what a contractor’s percentage pays for. Individual contractors may be higher or lower depending on the level of service provided and how they manage their overhead and workers’ compensation expenses.</w:t>
      </w:r>
    </w:p>
    <w:p w:rsidR="00676794" w:rsidRPr="00676794" w:rsidRDefault="00676794" w:rsidP="00676794">
      <w:pPr>
        <w:shd w:val="clear" w:color="auto" w:fill="FFFFFF"/>
        <w:spacing w:after="324"/>
        <w:jc w:val="center"/>
        <w:rPr>
          <w:rFonts w:ascii="Tahoma" w:eastAsia="Times New Roman" w:hAnsi="Tahoma" w:cs="Tahoma"/>
          <w:color w:val="2A2A2A"/>
          <w:sz w:val="20"/>
          <w:szCs w:val="20"/>
        </w:rPr>
      </w:pPr>
      <w:r w:rsidRPr="00676794">
        <w:rPr>
          <w:rFonts w:ascii="Tahoma" w:eastAsia="Times New Roman" w:hAnsi="Tahoma" w:cs="Tahoma"/>
          <w:color w:val="2A2A2A"/>
          <w:sz w:val="20"/>
          <w:szCs w:val="20"/>
        </w:rPr>
        <w:t>2012 Farm Labor Contractor Rate Breakdown</w:t>
      </w:r>
    </w:p>
    <w:tbl>
      <w:tblPr>
        <w:tblW w:w="9915" w:type="dxa"/>
        <w:tblInd w:w="93" w:type="dxa"/>
        <w:tblCellMar>
          <w:left w:w="0" w:type="dxa"/>
          <w:right w:w="0" w:type="dxa"/>
        </w:tblCellMar>
        <w:tblLook w:val="04A0"/>
      </w:tblPr>
      <w:tblGrid>
        <w:gridCol w:w="2297"/>
        <w:gridCol w:w="2038"/>
        <w:gridCol w:w="1260"/>
        <w:gridCol w:w="1124"/>
        <w:gridCol w:w="1138"/>
        <w:gridCol w:w="978"/>
        <w:gridCol w:w="1080"/>
      </w:tblGrid>
      <w:tr w:rsidR="00676794" w:rsidRPr="00676794" w:rsidTr="00676794">
        <w:trPr>
          <w:trHeight w:val="755"/>
        </w:trPr>
        <w:tc>
          <w:tcPr>
            <w:tcW w:w="22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76794" w:rsidRPr="00676794" w:rsidRDefault="00676794" w:rsidP="00676794">
            <w:pPr>
              <w:rPr>
                <w:rFonts w:ascii="Tahoma" w:eastAsia="Times New Roman" w:hAnsi="Tahoma" w:cs="Tahoma"/>
                <w:color w:val="2A2A2A"/>
                <w:sz w:val="20"/>
                <w:szCs w:val="20"/>
              </w:rPr>
            </w:pPr>
          </w:p>
        </w:tc>
        <w:tc>
          <w:tcPr>
            <w:tcW w:w="20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 xml:space="preserve">Orchards </w:t>
            </w:r>
          </w:p>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(Citrus &amp; Deciduous)</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Vineyard</w:t>
            </w:r>
          </w:p>
        </w:tc>
        <w:tc>
          <w:tcPr>
            <w:tcW w:w="11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Cotton</w:t>
            </w:r>
          </w:p>
        </w:tc>
        <w:tc>
          <w:tcPr>
            <w:tcW w:w="11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Strawberry</w:t>
            </w:r>
          </w:p>
        </w:tc>
        <w:tc>
          <w:tcPr>
            <w:tcW w:w="9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Field Crops</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Truck Crops</w:t>
            </w:r>
          </w:p>
        </w:tc>
      </w:tr>
      <w:tr w:rsidR="00676794" w:rsidRPr="00676794" w:rsidTr="00676794">
        <w:trPr>
          <w:trHeight w:val="300"/>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rPr>
                <w:rFonts w:ascii="Tahoma" w:eastAsia="Times New Roman" w:hAnsi="Tahoma" w:cs="Tahoma"/>
                <w:color w:val="2A2A2A"/>
                <w:sz w:val="20"/>
                <w:szCs w:val="20"/>
              </w:rPr>
            </w:pPr>
            <w:r w:rsidRPr="00676794">
              <w:rPr>
                <w:rFonts w:ascii="Garamond" w:eastAsia="Times New Roman" w:hAnsi="Garamond" w:cs="Tahoma"/>
                <w:color w:val="2A2A2A"/>
              </w:rPr>
              <w:t>Social Security Taxes</w:t>
            </w:r>
          </w:p>
        </w:tc>
        <w:tc>
          <w:tcPr>
            <w:tcW w:w="20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6.20%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6.20%</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6.20%</w:t>
            </w:r>
          </w:p>
        </w:tc>
        <w:tc>
          <w:tcPr>
            <w:tcW w:w="11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6.20%</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6.20%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6.20%</w:t>
            </w:r>
          </w:p>
        </w:tc>
      </w:tr>
      <w:tr w:rsidR="00676794" w:rsidRPr="00676794" w:rsidTr="00676794">
        <w:trPr>
          <w:trHeight w:val="300"/>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rPr>
                <w:rFonts w:ascii="Tahoma" w:eastAsia="Times New Roman" w:hAnsi="Tahoma" w:cs="Tahoma"/>
                <w:color w:val="2A2A2A"/>
                <w:sz w:val="20"/>
                <w:szCs w:val="20"/>
              </w:rPr>
            </w:pPr>
            <w:r w:rsidRPr="00676794">
              <w:rPr>
                <w:rFonts w:ascii="Garamond" w:eastAsia="Times New Roman" w:hAnsi="Garamond" w:cs="Tahoma"/>
                <w:color w:val="2A2A2A"/>
              </w:rPr>
              <w:t>Medicare Taxes</w:t>
            </w:r>
          </w:p>
        </w:tc>
        <w:tc>
          <w:tcPr>
            <w:tcW w:w="20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1.45%</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1.45%</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1.45%</w:t>
            </w:r>
          </w:p>
        </w:tc>
        <w:tc>
          <w:tcPr>
            <w:tcW w:w="11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1.45%</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1.45%</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1.45%</w:t>
            </w:r>
          </w:p>
        </w:tc>
      </w:tr>
      <w:tr w:rsidR="00676794" w:rsidRPr="00676794" w:rsidTr="00676794">
        <w:trPr>
          <w:trHeight w:val="300"/>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rPr>
                <w:rFonts w:ascii="Tahoma" w:eastAsia="Times New Roman" w:hAnsi="Tahoma" w:cs="Tahoma"/>
                <w:color w:val="2A2A2A"/>
                <w:sz w:val="20"/>
                <w:szCs w:val="20"/>
              </w:rPr>
            </w:pPr>
            <w:r w:rsidRPr="00676794">
              <w:rPr>
                <w:rFonts w:ascii="Garamond" w:eastAsia="Times New Roman" w:hAnsi="Garamond" w:cs="Tahoma"/>
                <w:color w:val="2A2A2A"/>
              </w:rPr>
              <w:t>FUTA Taxes</w:t>
            </w:r>
          </w:p>
        </w:tc>
        <w:tc>
          <w:tcPr>
            <w:tcW w:w="20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1.20%</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1.20%</w:t>
            </w:r>
          </w:p>
        </w:tc>
        <w:tc>
          <w:tcPr>
            <w:tcW w:w="11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1.20%</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1.20%</w:t>
            </w:r>
          </w:p>
        </w:tc>
      </w:tr>
      <w:tr w:rsidR="00676794" w:rsidRPr="00676794" w:rsidTr="00676794">
        <w:trPr>
          <w:trHeight w:val="300"/>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rPr>
                <w:rFonts w:ascii="Tahoma" w:eastAsia="Times New Roman" w:hAnsi="Tahoma" w:cs="Tahoma"/>
                <w:color w:val="2A2A2A"/>
                <w:sz w:val="20"/>
                <w:szCs w:val="20"/>
              </w:rPr>
            </w:pPr>
            <w:r w:rsidRPr="00676794">
              <w:rPr>
                <w:rFonts w:ascii="Garamond" w:eastAsia="Times New Roman" w:hAnsi="Garamond" w:cs="Tahoma"/>
                <w:color w:val="2A2A2A"/>
              </w:rPr>
              <w:t>SUI</w:t>
            </w:r>
          </w:p>
        </w:tc>
        <w:tc>
          <w:tcPr>
            <w:tcW w:w="20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5.10%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5.10%</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5.10%</w:t>
            </w:r>
          </w:p>
        </w:tc>
        <w:tc>
          <w:tcPr>
            <w:tcW w:w="11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5.10%</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5.10%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5.10%</w:t>
            </w:r>
          </w:p>
        </w:tc>
      </w:tr>
      <w:tr w:rsidR="00676794" w:rsidRPr="00676794" w:rsidTr="00676794">
        <w:trPr>
          <w:trHeight w:val="300"/>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rPr>
                <w:rFonts w:ascii="Tahoma" w:eastAsia="Times New Roman" w:hAnsi="Tahoma" w:cs="Tahoma"/>
                <w:color w:val="2A2A2A"/>
                <w:sz w:val="20"/>
                <w:szCs w:val="20"/>
              </w:rPr>
            </w:pPr>
            <w:r w:rsidRPr="00676794">
              <w:rPr>
                <w:rFonts w:ascii="Garamond" w:eastAsia="Times New Roman" w:hAnsi="Garamond" w:cs="Tahoma"/>
                <w:color w:val="2A2A2A"/>
              </w:rPr>
              <w:t>Workers' Compensation</w:t>
            </w:r>
          </w:p>
        </w:tc>
        <w:tc>
          <w:tcPr>
            <w:tcW w:w="20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12.88%</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7.25%</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12.09%</w:t>
            </w:r>
          </w:p>
        </w:tc>
        <w:tc>
          <w:tcPr>
            <w:tcW w:w="11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5.71%</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12.90%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9.00%</w:t>
            </w:r>
          </w:p>
        </w:tc>
      </w:tr>
      <w:tr w:rsidR="00676794" w:rsidRPr="00676794" w:rsidTr="00676794">
        <w:trPr>
          <w:trHeight w:val="300"/>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rPr>
                <w:rFonts w:ascii="Tahoma" w:eastAsia="Times New Roman" w:hAnsi="Tahoma" w:cs="Tahoma"/>
                <w:color w:val="2A2A2A"/>
                <w:sz w:val="20"/>
                <w:szCs w:val="20"/>
              </w:rPr>
            </w:pPr>
            <w:r w:rsidRPr="00676794">
              <w:rPr>
                <w:rFonts w:ascii="Garamond" w:eastAsia="Times New Roman" w:hAnsi="Garamond" w:cs="Tahoma"/>
                <w:color w:val="2A2A2A"/>
              </w:rPr>
              <w:t>Operations Overhead</w:t>
            </w:r>
          </w:p>
        </w:tc>
        <w:tc>
          <w:tcPr>
            <w:tcW w:w="20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12.5%</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12.5%</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12.5%</w:t>
            </w:r>
          </w:p>
        </w:tc>
        <w:tc>
          <w:tcPr>
            <w:tcW w:w="11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12.5%</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12.5%</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12.5%</w:t>
            </w:r>
          </w:p>
        </w:tc>
      </w:tr>
      <w:tr w:rsidR="00676794" w:rsidRPr="00676794" w:rsidTr="00676794">
        <w:trPr>
          <w:trHeight w:val="300"/>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rPr>
                <w:rFonts w:ascii="Tahoma" w:eastAsia="Times New Roman" w:hAnsi="Tahoma" w:cs="Tahoma"/>
                <w:color w:val="2A2A2A"/>
                <w:sz w:val="20"/>
                <w:szCs w:val="20"/>
              </w:rPr>
            </w:pPr>
            <w:r w:rsidRPr="00676794">
              <w:rPr>
                <w:rFonts w:ascii="Garamond" w:eastAsia="Times New Roman" w:hAnsi="Garamond" w:cs="Tahoma"/>
                <w:color w:val="2A2A2A"/>
              </w:rPr>
              <w:t>FLC Profit Margin</w:t>
            </w:r>
          </w:p>
        </w:tc>
        <w:tc>
          <w:tcPr>
            <w:tcW w:w="20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2%</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2%</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2%</w:t>
            </w:r>
          </w:p>
        </w:tc>
        <w:tc>
          <w:tcPr>
            <w:tcW w:w="11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2%</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2%</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2%</w:t>
            </w:r>
          </w:p>
        </w:tc>
      </w:tr>
      <w:tr w:rsidR="00676794" w:rsidRPr="00676794" w:rsidTr="00676794">
        <w:trPr>
          <w:trHeight w:val="242"/>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rPr>
                <w:rFonts w:ascii="Tahoma" w:eastAsia="Times New Roman" w:hAnsi="Tahoma" w:cs="Tahoma"/>
                <w:color w:val="2A2A2A"/>
                <w:sz w:val="20"/>
                <w:szCs w:val="20"/>
              </w:rPr>
            </w:pPr>
            <w:r w:rsidRPr="00676794">
              <w:rPr>
                <w:rFonts w:ascii="Garamond" w:eastAsia="Times New Roman" w:hAnsi="Garamond" w:cs="Tahoma"/>
                <w:color w:val="2A2A2A"/>
              </w:rPr>
              <w:t>Commission Rate</w:t>
            </w:r>
          </w:p>
        </w:tc>
        <w:tc>
          <w:tcPr>
            <w:tcW w:w="20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41.33%</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35.70%</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40.54%</w:t>
            </w:r>
          </w:p>
        </w:tc>
        <w:tc>
          <w:tcPr>
            <w:tcW w:w="11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34.16%</w:t>
            </w:r>
          </w:p>
        </w:tc>
        <w:tc>
          <w:tcPr>
            <w:tcW w:w="978" w:type="dxa"/>
            <w:tcBorders>
              <w:top w:val="nil"/>
              <w:left w:val="nil"/>
              <w:bottom w:val="single" w:sz="8" w:space="0" w:color="auto"/>
              <w:right w:val="nil"/>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41.35%</w:t>
            </w:r>
          </w:p>
        </w:tc>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76794" w:rsidRPr="00676794" w:rsidRDefault="00676794" w:rsidP="00676794">
            <w:pPr>
              <w:spacing w:after="324"/>
              <w:jc w:val="center"/>
              <w:rPr>
                <w:rFonts w:ascii="Tahoma" w:eastAsia="Times New Roman" w:hAnsi="Tahoma" w:cs="Tahoma"/>
                <w:color w:val="2A2A2A"/>
                <w:sz w:val="20"/>
                <w:szCs w:val="20"/>
              </w:rPr>
            </w:pPr>
            <w:r w:rsidRPr="00676794">
              <w:rPr>
                <w:rFonts w:ascii="Garamond" w:eastAsia="Times New Roman" w:hAnsi="Garamond" w:cs="Tahoma"/>
                <w:color w:val="2A2A2A"/>
              </w:rPr>
              <w:t>37.45%</w:t>
            </w:r>
          </w:p>
        </w:tc>
      </w:tr>
    </w:tbl>
    <w:p w:rsidR="00676794" w:rsidRPr="00676794" w:rsidRDefault="00676794" w:rsidP="00676794">
      <w:pPr>
        <w:shd w:val="clear" w:color="auto" w:fill="FFFFFF"/>
        <w:spacing w:after="324" w:line="276" w:lineRule="auto"/>
        <w:ind w:firstLine="720"/>
        <w:rPr>
          <w:rFonts w:ascii="Tahoma" w:eastAsia="Times New Roman" w:hAnsi="Tahoma" w:cs="Tahoma"/>
          <w:color w:val="2A2A2A"/>
          <w:sz w:val="20"/>
          <w:szCs w:val="20"/>
        </w:rPr>
      </w:pPr>
      <w:r w:rsidRPr="00676794">
        <w:rPr>
          <w:rFonts w:ascii="Tahoma" w:eastAsia="Times New Roman" w:hAnsi="Tahoma" w:cs="Tahoma"/>
          <w:color w:val="2A2A2A"/>
          <w:sz w:val="20"/>
          <w:szCs w:val="20"/>
        </w:rPr>
        <w:t>The numbers above reflect examples of acceptable industry standards. The actual rate that an FLC charges will vary based on its own workers’ compensation experience modification, workers’ compensation insurance carrier, and its use of the State Unemployment reserve fund account. There are wide differences in workers’ compensation carriers’ rates. The workers’ compensation figures shown are the median of the rates as published by the State of California Insurance Commissioner’s office.</w:t>
      </w:r>
    </w:p>
    <w:p w:rsidR="00676794" w:rsidRPr="00676794" w:rsidRDefault="00676794" w:rsidP="00676794">
      <w:pPr>
        <w:shd w:val="clear" w:color="auto" w:fill="FFFFFF"/>
        <w:spacing w:after="324" w:line="276" w:lineRule="auto"/>
        <w:rPr>
          <w:rFonts w:ascii="Tahoma" w:eastAsia="Times New Roman" w:hAnsi="Tahoma" w:cs="Tahoma"/>
          <w:color w:val="2A2A2A"/>
          <w:sz w:val="20"/>
          <w:szCs w:val="20"/>
        </w:rPr>
      </w:pPr>
      <w:r w:rsidRPr="00676794">
        <w:rPr>
          <w:rFonts w:ascii="Tahoma" w:eastAsia="Times New Roman" w:hAnsi="Tahoma" w:cs="Tahoma"/>
          <w:color w:val="2A2A2A"/>
          <w:sz w:val="20"/>
          <w:szCs w:val="20"/>
        </w:rPr>
        <w:t>Operations Overhead - Supervisors, insurance, toilets, equipment, shade/water, phones, vehicle, worker safety, food safety, administrative/office staff.</w:t>
      </w:r>
    </w:p>
    <w:p w:rsidR="00676794" w:rsidRPr="00676794" w:rsidRDefault="00676794" w:rsidP="00676794">
      <w:pPr>
        <w:shd w:val="clear" w:color="auto" w:fill="FFFFFF"/>
        <w:spacing w:after="324" w:line="276" w:lineRule="auto"/>
        <w:rPr>
          <w:rFonts w:ascii="Tahoma" w:eastAsia="Times New Roman" w:hAnsi="Tahoma" w:cs="Tahoma"/>
          <w:color w:val="2A2A2A"/>
          <w:sz w:val="20"/>
          <w:szCs w:val="20"/>
        </w:rPr>
      </w:pPr>
      <w:proofErr w:type="gramStart"/>
      <w:r w:rsidRPr="00676794">
        <w:rPr>
          <w:rFonts w:ascii="Tahoma" w:eastAsia="Times New Roman" w:hAnsi="Tahoma" w:cs="Tahoma"/>
          <w:color w:val="2A2A2A"/>
          <w:sz w:val="20"/>
          <w:szCs w:val="20"/>
        </w:rPr>
        <w:lastRenderedPageBreak/>
        <w:t>Profit Margin – Business development, fees, interest expenses, agency penalties.</w:t>
      </w:r>
      <w:proofErr w:type="gramEnd"/>
    </w:p>
    <w:p w:rsidR="00676794" w:rsidRPr="00676794" w:rsidRDefault="00676794" w:rsidP="00676794">
      <w:pPr>
        <w:shd w:val="clear" w:color="auto" w:fill="FFFFFF"/>
        <w:spacing w:after="324" w:line="276" w:lineRule="auto"/>
        <w:rPr>
          <w:rFonts w:ascii="Tahoma" w:eastAsia="Times New Roman" w:hAnsi="Tahoma" w:cs="Tahoma"/>
          <w:color w:val="2A2A2A"/>
          <w:sz w:val="20"/>
          <w:szCs w:val="20"/>
        </w:rPr>
      </w:pPr>
      <w:r w:rsidRPr="00676794">
        <w:rPr>
          <w:rFonts w:ascii="Tahoma" w:eastAsia="Times New Roman" w:hAnsi="Tahoma" w:cs="Tahoma"/>
          <w:color w:val="2A2A2A"/>
          <w:sz w:val="20"/>
          <w:szCs w:val="20"/>
        </w:rPr>
        <w:t>Orchards (Citrus &amp; Deciduous) – Includes citrus crops and stone fruit (tree crops).</w:t>
      </w:r>
    </w:p>
    <w:p w:rsidR="00676794" w:rsidRPr="00676794" w:rsidRDefault="00676794" w:rsidP="00676794">
      <w:pPr>
        <w:shd w:val="clear" w:color="auto" w:fill="FFFFFF"/>
        <w:spacing w:after="324" w:line="276" w:lineRule="auto"/>
        <w:rPr>
          <w:rFonts w:ascii="Tahoma" w:eastAsia="Times New Roman" w:hAnsi="Tahoma" w:cs="Tahoma"/>
          <w:color w:val="2A2A2A"/>
          <w:sz w:val="20"/>
          <w:szCs w:val="20"/>
        </w:rPr>
      </w:pPr>
      <w:r w:rsidRPr="00676794">
        <w:rPr>
          <w:rFonts w:ascii="Tahoma" w:eastAsia="Times New Roman" w:hAnsi="Tahoma" w:cs="Tahoma"/>
          <w:color w:val="2A2A2A"/>
          <w:sz w:val="20"/>
          <w:szCs w:val="20"/>
        </w:rPr>
        <w:t>Field Crops – Includes crops such as alfalfa, silage, beets, grain.</w:t>
      </w:r>
    </w:p>
    <w:p w:rsidR="00676794" w:rsidRPr="00676794" w:rsidRDefault="00676794" w:rsidP="00676794">
      <w:pPr>
        <w:shd w:val="clear" w:color="auto" w:fill="FFFFFF"/>
        <w:spacing w:after="324" w:line="276" w:lineRule="auto"/>
        <w:rPr>
          <w:rFonts w:ascii="Tahoma" w:eastAsia="Times New Roman" w:hAnsi="Tahoma" w:cs="Tahoma"/>
          <w:color w:val="2A2A2A"/>
          <w:sz w:val="20"/>
          <w:szCs w:val="20"/>
        </w:rPr>
      </w:pPr>
      <w:r w:rsidRPr="00676794">
        <w:rPr>
          <w:rFonts w:ascii="Tahoma" w:eastAsia="Times New Roman" w:hAnsi="Tahoma" w:cs="Tahoma"/>
          <w:color w:val="2A2A2A"/>
          <w:sz w:val="20"/>
          <w:szCs w:val="20"/>
        </w:rPr>
        <w:t xml:space="preserve">Truck Crops – Includes crops such as onions, garlic, veggie crops, </w:t>
      </w:r>
      <w:proofErr w:type="gramStart"/>
      <w:r w:rsidRPr="00676794">
        <w:rPr>
          <w:rFonts w:ascii="Tahoma" w:eastAsia="Times New Roman" w:hAnsi="Tahoma" w:cs="Tahoma"/>
          <w:color w:val="2A2A2A"/>
          <w:sz w:val="20"/>
          <w:szCs w:val="20"/>
        </w:rPr>
        <w:t>melons</w:t>
      </w:r>
      <w:proofErr w:type="gramEnd"/>
      <w:r w:rsidRPr="00676794">
        <w:rPr>
          <w:rFonts w:ascii="Tahoma" w:eastAsia="Times New Roman" w:hAnsi="Tahoma" w:cs="Tahoma"/>
          <w:color w:val="2A2A2A"/>
          <w:sz w:val="20"/>
          <w:szCs w:val="20"/>
        </w:rPr>
        <w:t>.</w:t>
      </w:r>
    </w:p>
    <w:p w:rsidR="00676794" w:rsidRPr="00676794" w:rsidRDefault="00676794" w:rsidP="00676794">
      <w:pPr>
        <w:shd w:val="clear" w:color="auto" w:fill="FFFFFF"/>
        <w:spacing w:after="324" w:line="276" w:lineRule="auto"/>
        <w:ind w:firstLine="720"/>
        <w:rPr>
          <w:rFonts w:ascii="Tahoma" w:eastAsia="Times New Roman" w:hAnsi="Tahoma" w:cs="Tahoma"/>
          <w:color w:val="2A2A2A"/>
          <w:sz w:val="20"/>
          <w:szCs w:val="20"/>
        </w:rPr>
      </w:pPr>
      <w:r w:rsidRPr="00676794">
        <w:rPr>
          <w:rFonts w:ascii="Tahoma" w:eastAsia="Times New Roman" w:hAnsi="Tahoma" w:cs="Tahoma"/>
          <w:color w:val="2A2A2A"/>
          <w:sz w:val="20"/>
          <w:szCs w:val="20"/>
        </w:rPr>
        <w:t>Contractors are required to pay employment taxes, unemployment insurance, and carry workers’ compensation insurance like any other employer. If a contractor’s rate seems too good to be true, it may be wise to verify with them that they are fulfilling all of these obligations. Farmers hiring a contractor are also reminded that they are required to verify the FLC license before they start work. Growers shouldn’t have to police the industry, but by using a little common sense you may just help yourself avoid trouble.</w:t>
      </w:r>
    </w:p>
    <w:p w:rsidR="00811E46" w:rsidRDefault="000319B5"/>
    <w:sectPr w:rsidR="00811E46" w:rsidSect="009911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76794"/>
    <w:rsid w:val="000319B5"/>
    <w:rsid w:val="00042BB6"/>
    <w:rsid w:val="0005088C"/>
    <w:rsid w:val="00082706"/>
    <w:rsid w:val="001F1EA4"/>
    <w:rsid w:val="00311664"/>
    <w:rsid w:val="00392DB9"/>
    <w:rsid w:val="006349B5"/>
    <w:rsid w:val="00676794"/>
    <w:rsid w:val="00991131"/>
    <w:rsid w:val="00C823E8"/>
    <w:rsid w:val="00FA26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7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xmsonormal">
    <w:name w:val="ecxmsonormal"/>
    <w:basedOn w:val="Normal"/>
    <w:rsid w:val="00676794"/>
    <w:pPr>
      <w:spacing w:after="324"/>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66877941">
      <w:bodyDiv w:val="1"/>
      <w:marLeft w:val="0"/>
      <w:marRight w:val="0"/>
      <w:marTop w:val="0"/>
      <w:marBottom w:val="0"/>
      <w:divBdr>
        <w:top w:val="none" w:sz="0" w:space="0" w:color="auto"/>
        <w:left w:val="none" w:sz="0" w:space="0" w:color="auto"/>
        <w:bottom w:val="none" w:sz="0" w:space="0" w:color="auto"/>
        <w:right w:val="none" w:sz="0" w:space="0" w:color="auto"/>
      </w:divBdr>
      <w:divsChild>
        <w:div w:id="1800608632">
          <w:marLeft w:val="0"/>
          <w:marRight w:val="0"/>
          <w:marTop w:val="0"/>
          <w:marBottom w:val="0"/>
          <w:divBdr>
            <w:top w:val="none" w:sz="0" w:space="0" w:color="auto"/>
            <w:left w:val="none" w:sz="0" w:space="0" w:color="auto"/>
            <w:bottom w:val="none" w:sz="0" w:space="0" w:color="auto"/>
            <w:right w:val="none" w:sz="0" w:space="0" w:color="auto"/>
          </w:divBdr>
          <w:divsChild>
            <w:div w:id="1200969393">
              <w:marLeft w:val="0"/>
              <w:marRight w:val="0"/>
              <w:marTop w:val="0"/>
              <w:marBottom w:val="0"/>
              <w:divBdr>
                <w:top w:val="none" w:sz="0" w:space="0" w:color="auto"/>
                <w:left w:val="none" w:sz="0" w:space="0" w:color="auto"/>
                <w:bottom w:val="none" w:sz="0" w:space="0" w:color="auto"/>
                <w:right w:val="none" w:sz="0" w:space="0" w:color="auto"/>
              </w:divBdr>
              <w:divsChild>
                <w:div w:id="1658876237">
                  <w:marLeft w:val="0"/>
                  <w:marRight w:val="0"/>
                  <w:marTop w:val="0"/>
                  <w:marBottom w:val="0"/>
                  <w:divBdr>
                    <w:top w:val="none" w:sz="0" w:space="0" w:color="auto"/>
                    <w:left w:val="none" w:sz="0" w:space="0" w:color="auto"/>
                    <w:bottom w:val="none" w:sz="0" w:space="0" w:color="auto"/>
                    <w:right w:val="none" w:sz="0" w:space="0" w:color="auto"/>
                  </w:divBdr>
                  <w:divsChild>
                    <w:div w:id="613367751">
                      <w:marLeft w:val="0"/>
                      <w:marRight w:val="0"/>
                      <w:marTop w:val="0"/>
                      <w:marBottom w:val="0"/>
                      <w:divBdr>
                        <w:top w:val="none" w:sz="0" w:space="0" w:color="auto"/>
                        <w:left w:val="none" w:sz="0" w:space="0" w:color="auto"/>
                        <w:bottom w:val="none" w:sz="0" w:space="0" w:color="auto"/>
                        <w:right w:val="none" w:sz="0" w:space="0" w:color="auto"/>
                      </w:divBdr>
                      <w:divsChild>
                        <w:div w:id="1831604803">
                          <w:marLeft w:val="0"/>
                          <w:marRight w:val="0"/>
                          <w:marTop w:val="0"/>
                          <w:marBottom w:val="0"/>
                          <w:divBdr>
                            <w:top w:val="none" w:sz="0" w:space="0" w:color="auto"/>
                            <w:left w:val="none" w:sz="0" w:space="0" w:color="auto"/>
                            <w:bottom w:val="none" w:sz="0" w:space="0" w:color="auto"/>
                            <w:right w:val="none" w:sz="0" w:space="0" w:color="auto"/>
                          </w:divBdr>
                          <w:divsChild>
                            <w:div w:id="360934647">
                              <w:marLeft w:val="0"/>
                              <w:marRight w:val="0"/>
                              <w:marTop w:val="0"/>
                              <w:marBottom w:val="0"/>
                              <w:divBdr>
                                <w:top w:val="none" w:sz="0" w:space="0" w:color="auto"/>
                                <w:left w:val="none" w:sz="0" w:space="0" w:color="auto"/>
                                <w:bottom w:val="none" w:sz="0" w:space="0" w:color="auto"/>
                                <w:right w:val="none" w:sz="0" w:space="0" w:color="auto"/>
                              </w:divBdr>
                              <w:divsChild>
                                <w:div w:id="2113428000">
                                  <w:marLeft w:val="0"/>
                                  <w:marRight w:val="0"/>
                                  <w:marTop w:val="0"/>
                                  <w:marBottom w:val="0"/>
                                  <w:divBdr>
                                    <w:top w:val="none" w:sz="0" w:space="0" w:color="auto"/>
                                    <w:left w:val="none" w:sz="0" w:space="0" w:color="auto"/>
                                    <w:bottom w:val="none" w:sz="0" w:space="0" w:color="auto"/>
                                    <w:right w:val="none" w:sz="0" w:space="0" w:color="auto"/>
                                  </w:divBdr>
                                  <w:divsChild>
                                    <w:div w:id="2028949096">
                                      <w:marLeft w:val="0"/>
                                      <w:marRight w:val="0"/>
                                      <w:marTop w:val="0"/>
                                      <w:marBottom w:val="0"/>
                                      <w:divBdr>
                                        <w:top w:val="none" w:sz="0" w:space="0" w:color="auto"/>
                                        <w:left w:val="none" w:sz="0" w:space="0" w:color="auto"/>
                                        <w:bottom w:val="none" w:sz="0" w:space="0" w:color="auto"/>
                                        <w:right w:val="none" w:sz="0" w:space="0" w:color="auto"/>
                                      </w:divBdr>
                                      <w:divsChild>
                                        <w:div w:id="480850323">
                                          <w:marLeft w:val="0"/>
                                          <w:marRight w:val="0"/>
                                          <w:marTop w:val="0"/>
                                          <w:marBottom w:val="0"/>
                                          <w:divBdr>
                                            <w:top w:val="none" w:sz="0" w:space="0" w:color="auto"/>
                                            <w:left w:val="none" w:sz="0" w:space="0" w:color="auto"/>
                                            <w:bottom w:val="none" w:sz="0" w:space="0" w:color="auto"/>
                                            <w:right w:val="none" w:sz="0" w:space="0" w:color="auto"/>
                                          </w:divBdr>
                                          <w:divsChild>
                                            <w:div w:id="603266317">
                                              <w:marLeft w:val="0"/>
                                              <w:marRight w:val="0"/>
                                              <w:marTop w:val="0"/>
                                              <w:marBottom w:val="0"/>
                                              <w:divBdr>
                                                <w:top w:val="none" w:sz="0" w:space="0" w:color="auto"/>
                                                <w:left w:val="none" w:sz="0" w:space="0" w:color="auto"/>
                                                <w:bottom w:val="none" w:sz="0" w:space="0" w:color="auto"/>
                                                <w:right w:val="none" w:sz="0" w:space="0" w:color="auto"/>
                                              </w:divBdr>
                                              <w:divsChild>
                                                <w:div w:id="1999385177">
                                                  <w:marLeft w:val="0"/>
                                                  <w:marRight w:val="90"/>
                                                  <w:marTop w:val="0"/>
                                                  <w:marBottom w:val="0"/>
                                                  <w:divBdr>
                                                    <w:top w:val="none" w:sz="0" w:space="0" w:color="auto"/>
                                                    <w:left w:val="none" w:sz="0" w:space="0" w:color="auto"/>
                                                    <w:bottom w:val="none" w:sz="0" w:space="0" w:color="auto"/>
                                                    <w:right w:val="none" w:sz="0" w:space="0" w:color="auto"/>
                                                  </w:divBdr>
                                                  <w:divsChild>
                                                    <w:div w:id="1597052289">
                                                      <w:marLeft w:val="0"/>
                                                      <w:marRight w:val="0"/>
                                                      <w:marTop w:val="0"/>
                                                      <w:marBottom w:val="0"/>
                                                      <w:divBdr>
                                                        <w:top w:val="none" w:sz="0" w:space="0" w:color="auto"/>
                                                        <w:left w:val="none" w:sz="0" w:space="0" w:color="auto"/>
                                                        <w:bottom w:val="none" w:sz="0" w:space="0" w:color="auto"/>
                                                        <w:right w:val="none" w:sz="0" w:space="0" w:color="auto"/>
                                                      </w:divBdr>
                                                      <w:divsChild>
                                                        <w:div w:id="1655403203">
                                                          <w:marLeft w:val="0"/>
                                                          <w:marRight w:val="0"/>
                                                          <w:marTop w:val="0"/>
                                                          <w:marBottom w:val="0"/>
                                                          <w:divBdr>
                                                            <w:top w:val="none" w:sz="0" w:space="0" w:color="auto"/>
                                                            <w:left w:val="none" w:sz="0" w:space="0" w:color="auto"/>
                                                            <w:bottom w:val="none" w:sz="0" w:space="0" w:color="auto"/>
                                                            <w:right w:val="none" w:sz="0" w:space="0" w:color="auto"/>
                                                          </w:divBdr>
                                                          <w:divsChild>
                                                            <w:div w:id="2070684630">
                                                              <w:marLeft w:val="0"/>
                                                              <w:marRight w:val="0"/>
                                                              <w:marTop w:val="0"/>
                                                              <w:marBottom w:val="0"/>
                                                              <w:divBdr>
                                                                <w:top w:val="none" w:sz="0" w:space="0" w:color="auto"/>
                                                                <w:left w:val="none" w:sz="0" w:space="0" w:color="auto"/>
                                                                <w:bottom w:val="none" w:sz="0" w:space="0" w:color="auto"/>
                                                                <w:right w:val="none" w:sz="0" w:space="0" w:color="auto"/>
                                                              </w:divBdr>
                                                              <w:divsChild>
                                                                <w:div w:id="673724800">
                                                                  <w:marLeft w:val="0"/>
                                                                  <w:marRight w:val="0"/>
                                                                  <w:marTop w:val="0"/>
                                                                  <w:marBottom w:val="105"/>
                                                                  <w:divBdr>
                                                                    <w:top w:val="single" w:sz="6" w:space="0" w:color="EDEDED"/>
                                                                    <w:left w:val="single" w:sz="6" w:space="0" w:color="EDEDED"/>
                                                                    <w:bottom w:val="single" w:sz="6" w:space="0" w:color="EDEDED"/>
                                                                    <w:right w:val="single" w:sz="6" w:space="0" w:color="EDEDED"/>
                                                                  </w:divBdr>
                                                                  <w:divsChild>
                                                                    <w:div w:id="1662584877">
                                                                      <w:marLeft w:val="0"/>
                                                                      <w:marRight w:val="0"/>
                                                                      <w:marTop w:val="0"/>
                                                                      <w:marBottom w:val="0"/>
                                                                      <w:divBdr>
                                                                        <w:top w:val="none" w:sz="0" w:space="0" w:color="auto"/>
                                                                        <w:left w:val="none" w:sz="0" w:space="0" w:color="auto"/>
                                                                        <w:bottom w:val="none" w:sz="0" w:space="0" w:color="auto"/>
                                                                        <w:right w:val="none" w:sz="0" w:space="0" w:color="auto"/>
                                                                      </w:divBdr>
                                                                      <w:divsChild>
                                                                        <w:div w:id="2007904605">
                                                                          <w:marLeft w:val="0"/>
                                                                          <w:marRight w:val="0"/>
                                                                          <w:marTop w:val="0"/>
                                                                          <w:marBottom w:val="0"/>
                                                                          <w:divBdr>
                                                                            <w:top w:val="none" w:sz="0" w:space="0" w:color="auto"/>
                                                                            <w:left w:val="none" w:sz="0" w:space="0" w:color="auto"/>
                                                                            <w:bottom w:val="none" w:sz="0" w:space="0" w:color="auto"/>
                                                                            <w:right w:val="none" w:sz="0" w:space="0" w:color="auto"/>
                                                                          </w:divBdr>
                                                                          <w:divsChild>
                                                                            <w:div w:id="754324274">
                                                                              <w:marLeft w:val="0"/>
                                                                              <w:marRight w:val="0"/>
                                                                              <w:marTop w:val="0"/>
                                                                              <w:marBottom w:val="0"/>
                                                                              <w:divBdr>
                                                                                <w:top w:val="none" w:sz="0" w:space="0" w:color="auto"/>
                                                                                <w:left w:val="none" w:sz="0" w:space="0" w:color="auto"/>
                                                                                <w:bottom w:val="none" w:sz="0" w:space="0" w:color="auto"/>
                                                                                <w:right w:val="none" w:sz="0" w:space="0" w:color="auto"/>
                                                                              </w:divBdr>
                                                                              <w:divsChild>
                                                                                <w:div w:id="774138218">
                                                                                  <w:marLeft w:val="180"/>
                                                                                  <w:marRight w:val="180"/>
                                                                                  <w:marTop w:val="0"/>
                                                                                  <w:marBottom w:val="0"/>
                                                                                  <w:divBdr>
                                                                                    <w:top w:val="none" w:sz="0" w:space="0" w:color="auto"/>
                                                                                    <w:left w:val="none" w:sz="0" w:space="0" w:color="auto"/>
                                                                                    <w:bottom w:val="none" w:sz="0" w:space="0" w:color="auto"/>
                                                                                    <w:right w:val="none" w:sz="0" w:space="0" w:color="auto"/>
                                                                                  </w:divBdr>
                                                                                  <w:divsChild>
                                                                                    <w:div w:id="58965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439</Words>
  <Characters>2505</Characters>
  <Application>Microsoft Office Word</Application>
  <DocSecurity>0</DocSecurity>
  <Lines>20</Lines>
  <Paragraphs>5</Paragraphs>
  <ScaleCrop>false</ScaleCrop>
  <Company/>
  <LinksUpToDate>false</LinksUpToDate>
  <CharactersWithSpaces>2939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Lupe</dc:creator>
  <cp:lastModifiedBy>Lupe</cp:lastModifiedBy>
  <cp:revision>2</cp:revision>
  <dcterms:created xsi:type="dcterms:W3CDTF">2013-11-06T04:35:00Z</dcterms:created>
  <dcterms:modified xsi:type="dcterms:W3CDTF">2013-11-06T04:35:00Z</dcterms:modified>
</cp:coreProperties>
</file>